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media/rId26.png" ContentType="image/png"/>
  <Override PartName="/word/media/rId25.png" ContentType="image/png"/>
  <Override PartName="/word/media/rId27.png" ContentType="image/png"/>
  <Override PartName="/word/media/rId29.png" ContentType="image/png"/>
  <Override PartName="/word/media/rId28.png" ContentType="image/png"/>
  <Override PartName="/word/media/rId44.png" ContentType="image/png"/>
  <Override PartName="/word/media/rId45.png" ContentType="image/png"/>
  <Override PartName="/word/media/rId47.png" ContentType="image/png"/>
  <Override PartName="/word/media/rId48.png" ContentType="image/png"/>
  <Override PartName="/word/media/rId35.png" ContentType="image/png"/>
  <Override PartName="/word/media/rId36.png" ContentType="image/png"/>
  <Override PartName="/word/media/rId39.png" ContentType="image/png"/>
  <Override PartName="/word/media/rId40.png" ContentType="image/png"/>
  <Override PartName="/word/media/rId41.png" ContentType="image/png"/>
  <Override PartName="/word/media/rId42.png" ContentType="image/png"/>
  <Override PartName="/word/media/rId33.png" ContentType="image/png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RSAT</w:t>
      </w:r>
      <w:r>
        <w:t xml:space="preserve"> </w:t>
      </w:r>
      <w:r>
        <w:t xml:space="preserve">Virtual</w:t>
      </w:r>
      <w:r>
        <w:t xml:space="preserve"> </w:t>
      </w:r>
      <w:r>
        <w:t xml:space="preserve">machine</w:t>
      </w:r>
      <w:r>
        <w:t xml:space="preserve"> </w:t>
      </w:r>
      <w:r>
        <w:t xml:space="preserve">(VM)</w:t>
      </w:r>
      <w:r>
        <w:t xml:space="preserve"> </w:t>
      </w:r>
      <w:r>
        <w:t xml:space="preserve">User</w:t>
      </w:r>
      <w:r>
        <w:t xml:space="preserve"> </w:t>
      </w:r>
      <w:r>
        <w:t xml:space="preserve">Guide</w:t>
      </w:r>
    </w:p>
    <w:p>
      <w:pPr>
        <w:pStyle w:val="Author"/>
      </w:pPr>
      <w:r>
        <w:t xml:space="preserve">Jacques</w:t>
      </w:r>
      <w:r>
        <w:t xml:space="preserve"> </w:t>
      </w:r>
      <w:r>
        <w:t xml:space="preserve">van</w:t>
      </w:r>
      <w:r>
        <w:t xml:space="preserve"> </w:t>
      </w:r>
      <w:r>
        <w:t xml:space="preserve">Helden</w:t>
      </w:r>
    </w:p>
    <w:p>
      <w:pPr>
        <w:pStyle w:val="Date"/>
      </w:pPr>
      <w:r>
        <w:t xml:space="preserve">Last</w:t>
      </w:r>
      <w:r>
        <w:t xml:space="preserve"> </w:t>
      </w:r>
      <w:r>
        <w:t xml:space="preserve">update:</w:t>
      </w:r>
      <w:r>
        <w:t xml:space="preserve"> </w:t>
      </w:r>
      <w:r>
        <w:t xml:space="preserve">2016-06-24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TOCHeading"/>
          </w:pPr>
          <w:r>
            <w:t xml:space="preserve">Table of Contents</w:t>
          </w:r>
        </w:p>
        <w:p>
          <w:r>
            <w:fldChar w:fldCharType="begin" w:dirty="true"/>
            <w:instrText xml:space="preserve">TOC \o "1-4" \h \z \u</w:instrText>
            <w:fldChar w:fldCharType="separate"/>
            <w:fldChar w:fldCharType="end"/>
          </w:r>
        </w:p>
      </w:sdtContent>
    </w:sdt>
    <w:p>
      <w:pPr>
        <w:pStyle w:val="Heading1"/>
      </w:pPr>
      <w:bookmarkStart w:id="21" w:name="introduction"/>
      <w:bookmarkEnd w:id="21"/>
      <w:r>
        <w:t xml:space="preserve">Introduction</w:t>
      </w:r>
    </w:p>
    <w:p>
      <w:pPr>
        <w:pStyle w:val="FirstParagraph"/>
      </w:pPr>
      <w:r>
        <w:t xml:space="preserve">This tutorial explains the steps to instantiate an RSAT Virtual Machine on the cloud of the French Institute of Bioinformatics</w:t>
      </w:r>
      <w:r>
        <w:t xml:space="preserve"> </w:t>
      </w:r>
      <w:hyperlink r:id="rId22">
        <w:r>
          <w:rPr>
            <w:rStyle w:val="Hyperlink"/>
          </w:rPr>
          <w:t xml:space="preserve">IFB cloud</w:t>
        </w:r>
      </w:hyperlink>
      <w:r>
        <w:t xml:space="preserve"> </w:t>
      </w:r>
      <w:r>
        <w:t xml:space="preserve">and perform some basic operations with regulatory sequences and motifs.</w:t>
      </w:r>
    </w:p>
    <w:p>
      <w:pPr>
        <w:pStyle w:val="Heading1"/>
      </w:pPr>
      <w:bookmarkStart w:id="23" w:name="instantiating-an-rsat-virtual-machine-on-the-ifb-cloud"/>
      <w:bookmarkEnd w:id="23"/>
      <w:r>
        <w:t xml:space="preserve">Instantiating an RSAT Virtual Machine on the IFB cloud</w:t>
      </w:r>
    </w:p>
    <w:p>
      <w:pPr>
        <w:pStyle w:val="Compact"/>
        <w:numPr>
          <w:numId w:val="1001"/>
          <w:ilvl w:val="0"/>
        </w:numPr>
      </w:pPr>
      <w:r>
        <w:t xml:space="preserve">Open a connection to the IFB cloud at</w:t>
      </w:r>
      <w:r>
        <w:t xml:space="preserve"> </w:t>
      </w:r>
      <w:hyperlink r:id="rId22">
        <w:r>
          <w:rPr>
            <w:rStyle w:val="Hyperlink"/>
          </w:rPr>
          <w:t xml:space="preserve">http://www.france-bioinformatique.fr/fr/cloud</w:t>
        </w:r>
      </w:hyperlink>
      <w:r>
        <w:t xml:space="preserve"> </w:t>
      </w:r>
      <w:r>
        <w:t xml:space="preserve">and click on the link</w:t>
      </w:r>
      <w:r>
        <w:t xml:space="preserve"> </w:t>
      </w:r>
      <w:r>
        <w:rPr>
          <w:b/>
        </w:rPr>
        <w:t xml:space="preserve">Se connecter</w:t>
      </w:r>
      <w:r>
        <w:t xml:space="preserve"> </w:t>
      </w:r>
      <w:r>
        <w:t xml:space="preserve">to access the</w:t>
      </w:r>
      <w:r>
        <w:t xml:space="preserve"> </w:t>
      </w:r>
      <w:hyperlink r:id="rId24">
        <w:r>
          <w:rPr>
            <w:rStyle w:val="Hyperlink"/>
          </w:rPr>
          <w:t xml:space="preserve">login window</w:t>
        </w:r>
      </w:hyperlink>
      <w:r>
        <w:t xml:space="preserve">.</w:t>
      </w:r>
    </w:p>
    <w:p>
      <w:pPr>
        <w:pStyle w:val="FigureWithCaption"/>
      </w:pPr>
      <w:r>
        <w:drawing>
          <wp:inline>
            <wp:extent cx="5334000" cy="3992451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IFB-cloud_login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9245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Login window</w:t>
      </w:r>
    </w:p>
    <w:p>
      <w:pPr>
        <w:pStyle w:val="Compact"/>
        <w:numPr>
          <w:numId w:val="1002"/>
          <w:ilvl w:val="0"/>
        </w:numPr>
      </w:pPr>
      <w:r>
        <w:t xml:space="preserve">Cliquez sur le bouton</w:t>
      </w:r>
      <w:r>
        <w:t xml:space="preserve"> </w:t>
      </w:r>
      <w:r>
        <w:rPr>
          <w:i/>
          <w:b/>
        </w:rPr>
        <w:t xml:space="preserve">New Instance</w:t>
      </w:r>
      <w:r>
        <w:t xml:space="preserve">.</w:t>
      </w:r>
    </w:p>
    <w:p>
      <w:pPr>
        <w:pStyle w:val="FigureWithCaption"/>
      </w:pPr>
      <w:r>
        <w:drawing>
          <wp:inline>
            <wp:extent cx="5334000" cy="1509204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IFB-cloud_buttons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509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Click on the button</w:t>
      </w:r>
      <w:r>
        <w:t xml:space="preserve"> </w:t>
      </w:r>
      <w:r>
        <w:rPr>
          <w:b/>
        </w:rPr>
        <w:t xml:space="preserve">New Instnace</w:t>
      </w:r>
      <w:r>
        <w:t xml:space="preserve"> </w:t>
      </w:r>
      <w:r>
        <w:t xml:space="preserve">to start a new virtual machine.</w:t>
      </w:r>
    </w:p>
    <w:p>
      <w:pPr>
        <w:pStyle w:val="Compact"/>
        <w:numPr>
          <w:numId w:val="1003"/>
          <w:ilvl w:val="0"/>
        </w:numPr>
      </w:pPr>
      <w:r>
        <w:t xml:space="preserve">In the dialog box, select the appliance</w:t>
      </w:r>
      <w:r>
        <w:t xml:space="preserve"> </w:t>
      </w:r>
      <w:r>
        <w:rPr>
          <w:b/>
        </w:rPr>
        <w:t xml:space="preserve">RSAT (2016-06)</w:t>
      </w:r>
      <w:r>
        <w:t xml:space="preserve">, fill the</w:t>
      </w:r>
      <w:r>
        <w:t xml:space="preserve"> </w:t>
      </w:r>
      <w:r>
        <w:rPr>
          <w:b/>
        </w:rPr>
        <w:t xml:space="preserve">Name</w:t>
      </w:r>
      <w:r>
        <w:t xml:space="preserve"> </w:t>
      </w:r>
      <w:r>
        <w:t xml:space="preserve">field (for example type *RSAT-VM</w:t>
      </w:r>
      <w:r>
        <w:rPr>
          <w:b/>
        </w:rPr>
        <w:t xml:space="preserve">) and click</w:t>
      </w:r>
      <w:r>
        <w:rPr>
          <w:b/>
        </w:rPr>
        <w:t xml:space="preserve"> </w:t>
      </w:r>
      <w:r>
        <w:t xml:space="preserve">Run**.</w:t>
      </w:r>
    </w:p>
    <w:p>
      <w:pPr>
        <w:pStyle w:val="FigureWithCaption"/>
      </w:pPr>
      <w:r>
        <w:drawing>
          <wp:inline>
            <wp:extent cx="5334000" cy="3961391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New-Instance_window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6139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Dialog box for the configuration of a new instance of VM on the IFB cloud.</w:t>
      </w:r>
    </w:p>
    <w:p>
      <w:pPr>
        <w:pStyle w:val="Compact"/>
        <w:numPr>
          <w:numId w:val="1004"/>
          <w:ilvl w:val="0"/>
        </w:numPr>
      </w:pPr>
      <w:r>
        <w:t xml:space="preserve">Th new instance will take a couple of minutes to start. Click periodically on</w:t>
      </w:r>
      <w:r>
        <w:t xml:space="preserve"> </w:t>
      </w:r>
      <w:r>
        <w:rPr>
          <w:b/>
        </w:rPr>
        <w:t xml:space="preserve">Show Instances</w:t>
      </w:r>
      <w:r>
        <w:t xml:space="preserve"> </w:t>
      </w:r>
      <w:r>
        <w:t xml:space="preserve">until your new instance appears with a green light, and the</w:t>
      </w:r>
      <w:r>
        <w:t xml:space="preserve"> </w:t>
      </w:r>
      <w:r>
        <w:rPr>
          <w:i/>
        </w:rPr>
        <w:t xml:space="preserve">ssh</w:t>
      </w:r>
      <w:r>
        <w:t xml:space="preserve"> </w:t>
      </w:r>
      <w:r>
        <w:t xml:space="preserve">and</w:t>
      </w:r>
      <w:r>
        <w:t xml:space="preserve"> </w:t>
      </w:r>
      <w:r>
        <w:rPr>
          <w:i/>
        </w:rPr>
        <w:t xml:space="preserve">http</w:t>
      </w:r>
      <w:r>
        <w:t xml:space="preserve"> </w:t>
      </w:r>
      <w:r>
        <w:t xml:space="preserve">links are active.</w:t>
      </w:r>
    </w:p>
    <w:p>
      <w:pPr>
        <w:pStyle w:val="FigureWithCaption"/>
      </w:pPr>
      <w:r>
        <w:drawing>
          <wp:inline>
            <wp:extent cx="5334000" cy="3961391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Show-Instances_window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6139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List of running instances on the IFB cloud. The list is user-specific, for this tutorial you only need the RSAT-VM instance.</w:t>
      </w:r>
    </w:p>
    <w:p>
      <w:pPr>
        <w:pStyle w:val="Compact"/>
        <w:numPr>
          <w:numId w:val="1005"/>
          <w:ilvl w:val="0"/>
        </w:numPr>
      </w:pPr>
      <w:r>
        <w:t xml:space="preserve">Click then on the</w:t>
      </w:r>
      <w:r>
        <w:t xml:space="preserve"> </w:t>
      </w:r>
      <w:r>
        <w:rPr>
          <w:b/>
        </w:rPr>
        <w:t xml:space="preserve">http</w:t>
      </w:r>
      <w:r>
        <w:t xml:space="preserve"> </w:t>
      </w:r>
      <w:r>
        <w:t xml:space="preserve">link for the RSAT-VM instance. This brings you to the home page of your own RSAT server.</w:t>
      </w:r>
    </w:p>
    <w:p>
      <w:pPr>
        <w:pStyle w:val="FigureWithCaption"/>
      </w:pPr>
      <w:r>
        <w:drawing>
          <wp:inline>
            <wp:extent cx="5334000" cy="3961391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RSAT-VM_home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6139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Home page of the RSAT virtual machine.</w:t>
      </w:r>
    </w:p>
    <w:p>
      <w:pPr>
        <w:pStyle w:val="Heading1"/>
      </w:pPr>
      <w:bookmarkStart w:id="30" w:name="a-quick-tour-of-the-tools-from-gene-clusters-to-motifs"/>
      <w:bookmarkEnd w:id="30"/>
      <w:r>
        <w:t xml:space="preserve">A quick tour of the tools: from gene clusters to motifs</w:t>
      </w:r>
    </w:p>
    <w:p>
      <w:pPr>
        <w:pStyle w:val="FirstParagraph"/>
      </w:pPr>
      <w:r>
        <w:t xml:space="preserve">We will run a quick tour of some simple modular tools of the RSAT software suite. We will successively run the following analyses:</w:t>
      </w:r>
    </w:p>
    <w:p>
      <w:pPr>
        <w:pStyle w:val="Compact"/>
        <w:numPr>
          <w:numId w:val="1006"/>
          <w:ilvl w:val="0"/>
        </w:numPr>
      </w:pPr>
      <w:r>
        <w:t xml:space="preserve">Get the list of supported organisms.</w:t>
      </w:r>
    </w:p>
    <w:p>
      <w:pPr>
        <w:pStyle w:val="Compact"/>
        <w:numPr>
          <w:numId w:val="1006"/>
          <w:ilvl w:val="0"/>
        </w:numPr>
      </w:pPr>
      <w:r>
        <w:t xml:space="preserve">Select a group of yeast genes involved in a common biological process (methionine metabolism and transport), which are supposedly co-regulated by some transcription factors.</w:t>
      </w:r>
    </w:p>
    <w:p>
      <w:pPr>
        <w:pStyle w:val="Compact"/>
        <w:numPr>
          <w:numId w:val="1006"/>
          <w:ilvl w:val="0"/>
        </w:numPr>
      </w:pPr>
      <w:r>
        <w:t xml:space="preserve">Retrieve the non-coding sequences located upstream of these genes. These upstream sequences contain the gene promoter and the cis-regulatory elements.</w:t>
      </w:r>
    </w:p>
    <w:p>
      <w:pPr>
        <w:pStyle w:val="Compact"/>
        <w:numPr>
          <w:numId w:val="1006"/>
          <w:ilvl w:val="0"/>
        </w:numPr>
      </w:pPr>
      <w:r>
        <w:t xml:space="preserve">Apply an</w:t>
      </w:r>
      <w:r>
        <w:t xml:space="preserve"> </w:t>
      </w:r>
      <w:r>
        <w:rPr>
          <w:i/>
        </w:rPr>
        <w:t xml:space="preserve">ab initio</w:t>
      </w:r>
      <w:r>
        <w:t xml:space="preserve"> </w:t>
      </w:r>
      <w:r>
        <w:t xml:space="preserve">motif discovery approach based on the detection of over-represented k)mers (</w:t>
      </w:r>
      <w:r>
        <w:rPr>
          <w:i/>
        </w:rPr>
        <w:t xml:space="preserve">oligo-analysis</w:t>
      </w:r>
      <w:r>
        <w:t xml:space="preserve">) in order to detect motifs potentially involved in the transcriptional response of these genes.</w:t>
      </w:r>
    </w:p>
    <w:p>
      <w:pPr>
        <w:pStyle w:val="Compact"/>
        <w:numPr>
          <w:numId w:val="1006"/>
          <w:ilvl w:val="0"/>
        </w:numPr>
      </w:pPr>
      <w:r>
        <w:t xml:space="preserve">Scan the promoter sequences to detect the sites (positions) matching the discovered motifs.</w:t>
      </w:r>
    </w:p>
    <w:p>
      <w:pPr>
        <w:pStyle w:val="Compact"/>
        <w:numPr>
          <w:numId w:val="1006"/>
          <w:ilvl w:val="0"/>
        </w:numPr>
      </w:pPr>
      <w:r>
        <w:t xml:space="preserve">Generate a feature-map to inspect the position of these sites.</w:t>
      </w:r>
    </w:p>
    <w:p>
      <w:pPr>
        <w:pStyle w:val="Heading2"/>
      </w:pPr>
      <w:bookmarkStart w:id="31" w:name="protocol"/>
      <w:bookmarkEnd w:id="31"/>
      <w:r>
        <w:t xml:space="preserve">Protocol</w:t>
      </w:r>
    </w:p>
    <w:p>
      <w:pPr>
        <w:pStyle w:val="Heading3"/>
      </w:pPr>
      <w:bookmarkStart w:id="32" w:name="supported-organisms"/>
      <w:bookmarkEnd w:id="32"/>
      <w:r>
        <w:t xml:space="preserve">1. Supported organisms</w:t>
      </w:r>
    </w:p>
    <w:p>
      <w:pPr>
        <w:pStyle w:val="FirstParagraph"/>
      </w:pPr>
      <w:r>
        <w:t xml:space="preserve">In the left panel, expland the menu</w:t>
      </w:r>
      <w:r>
        <w:t xml:space="preserve"> </w:t>
      </w:r>
      <w:r>
        <w:rPr>
          <w:b/>
        </w:rPr>
        <w:t xml:space="preserve">Genomes and genes</w:t>
      </w:r>
      <w:r>
        <w:t xml:space="preserve"> </w:t>
      </w:r>
      <w:r>
        <w:t xml:space="preserve">and click on the tool</w:t>
      </w:r>
      <w:r>
        <w:t xml:space="preserve"> </w:t>
      </w:r>
      <w:r>
        <w:rPr>
          <w:b/>
        </w:rPr>
        <w:t xml:space="preserve">Supported organisms</w:t>
      </w:r>
      <w:r>
        <w:t xml:space="preserve">.</w:t>
      </w:r>
    </w:p>
    <w:p>
      <w:pPr>
        <w:pStyle w:val="FigureWithCaption"/>
      </w:pPr>
      <w:r>
        <w:drawing>
          <wp:inline>
            <wp:extent cx="5334000" cy="3788441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supported-organisms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7884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List of supported organisms on the RSAT Virtual Machine of the IFB cloud. The current version (June 2016) supports 1535 species, whose genomes were downloaded from various sources (EnsemblGenomes, NCBI).</w:t>
      </w:r>
    </w:p>
    <w:p>
      <w:pPr>
        <w:pStyle w:val="Heading3"/>
      </w:pPr>
      <w:bookmarkStart w:id="34" w:name="getting-genes-by-name"/>
      <w:bookmarkEnd w:id="34"/>
      <w:r>
        <w:t xml:space="preserve">2. Getting genes by name</w:t>
      </w:r>
    </w:p>
    <w:p>
      <w:pPr>
        <w:pStyle w:val="FirstParagraph"/>
      </w:pPr>
      <w:r>
        <w:t xml:space="preserve">We will now gather the genes involved in methionine metabolism and transport. In the yeast Saccharomyces cerevisiae, these genes are generally named with a prefix MET, followed by one or several numbers.</w:t>
      </w:r>
    </w:p>
    <w:p>
      <w:pPr>
        <w:pStyle w:val="Compact"/>
        <w:numPr>
          <w:numId w:val="1007"/>
          <w:ilvl w:val="0"/>
        </w:numPr>
      </w:pPr>
      <w:r>
        <w:t xml:space="preserve">Under</w:t>
      </w:r>
      <w:r>
        <w:t xml:space="preserve"> </w:t>
      </w:r>
      <w:r>
        <w:rPr>
          <w:b/>
        </w:rPr>
        <w:t xml:space="preserve">Genes and genomes</w:t>
      </w:r>
      <w:r>
        <w:t xml:space="preserve">, click</w:t>
      </w:r>
      <w:r>
        <w:t xml:space="preserve"> </w:t>
      </w:r>
      <w:r>
        <w:rPr>
          <w:b/>
        </w:rPr>
        <w:t xml:space="preserve">Gene information</w:t>
      </w:r>
      <w:r>
        <w:t xml:space="preserve">.</w:t>
      </w:r>
    </w:p>
    <w:p>
      <w:pPr>
        <w:pStyle w:val="Compact"/>
        <w:numPr>
          <w:numId w:val="1007"/>
          <w:ilvl w:val="0"/>
        </w:numPr>
      </w:pPr>
      <w:r>
        <w:t xml:space="preserve">In the</w:t>
      </w:r>
      <w:r>
        <w:t xml:space="preserve"> </w:t>
      </w:r>
      <w:r>
        <w:rPr>
          <w:b/>
        </w:rPr>
        <w:t xml:space="preserve">Organism</w:t>
      </w:r>
      <w:r>
        <w:t xml:space="preserve"> </w:t>
      </w:r>
      <w:r>
        <w:t xml:space="preserve">menu, select the species</w:t>
      </w:r>
      <w:r>
        <w:t xml:space="preserve"> </w:t>
      </w:r>
      <w:r>
        <w:rPr>
          <w:i/>
        </w:rPr>
        <w:t xml:space="preserve">Saccharomyces cerevisiae</w:t>
      </w:r>
      <w:r>
        <w:t xml:space="preserve">.</w:t>
      </w:r>
    </w:p>
    <w:p>
      <w:pPr>
        <w:pStyle w:val="Compact"/>
        <w:numPr>
          <w:numId w:val="1007"/>
          <w:ilvl w:val="0"/>
        </w:numPr>
      </w:pPr>
      <w:r>
        <w:t xml:space="preserve">In the</w:t>
      </w:r>
      <w:r>
        <w:t xml:space="preserve"> </w:t>
      </w:r>
      <w:r>
        <w:rPr>
          <w:b/>
        </w:rPr>
        <w:t xml:space="preserve">Query</w:t>
      </w:r>
      <w:r>
        <w:t xml:space="preserve"> </w:t>
      </w:r>
      <w:r>
        <w:t xml:space="preserve">box, enter 'MET/d+'. This is a regular expression specifying that the gene name should contain the string MET followed by one or several digits (</w:t>
      </w:r>
      <w:r>
        <w:t xml:space="preserve">).</w:t>
      </w:r>
    </w:p>
    <w:p>
      <w:pPr>
        <w:pStyle w:val="Compact"/>
        <w:numPr>
          <w:numId w:val="1007"/>
          <w:ilvl w:val="0"/>
        </w:numPr>
      </w:pPr>
      <w:r>
        <w:t xml:space="preserve">Click</w:t>
      </w:r>
      <w:r>
        <w:t xml:space="preserve"> </w:t>
      </w:r>
      <w:r>
        <w:rPr>
          <w:b/>
        </w:rPr>
        <w:t xml:space="preserve">GO</w:t>
      </w:r>
      <w:r>
        <w:t xml:space="preserve">.</w:t>
      </w:r>
    </w:p>
    <w:p>
      <w:pPr>
        <w:pStyle w:val="FigureWithCaption"/>
      </w:pPr>
      <w:r>
        <w:drawing>
          <wp:inline>
            <wp:extent cx="5334000" cy="3945948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gene-info_query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4594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Query form of the</w:t>
      </w:r>
      <w:r>
        <w:t xml:space="preserve"> </w:t>
      </w:r>
      <w:r>
        <w:rPr>
          <w:b/>
        </w:rPr>
        <w:t xml:space="preserve">gene-info</w:t>
      </w:r>
      <w:r>
        <w:t xml:space="preserve"> </w:t>
      </w:r>
      <w:r>
        <w:t xml:space="preserve">tool.</w:t>
      </w:r>
    </w:p>
    <w:p>
      <w:pPr>
        <w:pStyle w:val="BodyText"/>
      </w:pPr>
      <w:r>
        <w:t xml:space="preserve">After a few seconds, the result form should appear, a table with the genes whose name matched the query, followed by a table of links to the result files, and another table</w:t>
      </w:r>
      <w:r>
        <w:t xml:space="preserve"> </w:t>
      </w:r>
      <w:r>
        <w:rPr>
          <w:b/>
        </w:rPr>
        <w:t xml:space="preserve">Next Step</w:t>
      </w:r>
      <w:r>
        <w:t xml:space="preserve"> </w:t>
      </w:r>
      <w:r>
        <w:t xml:space="preserve">of possible tools for the next step of the analysis.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gene-info_result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Result page of the</w:t>
      </w:r>
      <w:r>
        <w:t xml:space="preserve"> </w:t>
      </w:r>
      <w:r>
        <w:rPr>
          <w:b/>
        </w:rPr>
        <w:t xml:space="preserve">gene-info</w:t>
      </w:r>
      <w:r>
        <w:t xml:space="preserve"> </w:t>
      </w:r>
      <w:r>
        <w:t xml:space="preserve">tool.</w:t>
      </w:r>
    </w:p>
    <w:p>
      <w:pPr>
        <w:pStyle w:val="Heading3"/>
      </w:pPr>
      <w:bookmarkStart w:id="37" w:name="retrieving-upstream-sequences"/>
      <w:bookmarkEnd w:id="37"/>
      <w:r>
        <w:t xml:space="preserve">3. Retrieving upstream sequences</w:t>
      </w:r>
    </w:p>
    <w:p>
      <w:pPr>
        <w:numPr>
          <w:numId w:val="1008"/>
          <w:ilvl w:val="0"/>
        </w:numPr>
      </w:pPr>
      <w:r>
        <w:t xml:space="preserve">In the</w:t>
      </w:r>
      <w:r>
        <w:t xml:space="preserve"> </w:t>
      </w:r>
      <w:r>
        <w:rPr>
          <w:b/>
        </w:rPr>
        <w:t xml:space="preserve">Next step</w:t>
      </w:r>
      <w:r>
        <w:t xml:space="preserve"> </w:t>
      </w:r>
      <w:r>
        <w:t xml:space="preserve">table of the gene-info result, click on the button</w:t>
      </w:r>
      <w:r>
        <w:t xml:space="preserve"> </w:t>
      </w:r>
      <w:r>
        <w:rPr>
          <w:b/>
        </w:rPr>
        <w:t xml:space="preserve">retrieve sequence</w:t>
      </w:r>
      <w:r>
        <w:t xml:space="preserve">. The</w:t>
      </w:r>
      <w:r>
        <w:t xml:space="preserve"> </w:t>
      </w:r>
      <w:r>
        <w:rPr>
          <w:b/>
        </w:rPr>
        <w:t xml:space="preserve">Retrieve sequence</w:t>
      </w:r>
      <w:r>
        <w:t xml:space="preserve"> </w:t>
      </w:r>
      <w:r>
        <w:t xml:space="preserve">form is displayed, where the organism and gene query box have automatically been filled with the results of your gene-info query.</w:t>
      </w:r>
    </w:p>
    <w:p>
      <w:pPr>
        <w:numPr>
          <w:numId w:val="1008"/>
          <w:ilvl w:val="0"/>
        </w:numPr>
      </w:pPr>
      <w:r>
        <w:t xml:space="preserve">Leave all other parameteres unchanged and click</w:t>
      </w:r>
      <w:r>
        <w:t xml:space="preserve"> </w:t>
      </w:r>
      <w:r>
        <w:rPr>
          <w:b/>
        </w:rPr>
        <w:t xml:space="preserve">GO</w:t>
      </w:r>
      <w:r>
        <w:t xml:space="preserve">. After a few seconds, the result page is displayed.</w:t>
      </w:r>
    </w:p>
    <w:p>
      <w:pPr>
        <w:numPr>
          <w:numId w:val="1008"/>
          <w:ilvl w:val="0"/>
        </w:numPr>
      </w:pPr>
      <w:r>
        <w:t xml:space="preserve">Optionally, in the table</w:t>
      </w:r>
      <w:r>
        <w:t xml:space="preserve"> </w:t>
      </w:r>
      <w:r>
        <w:rPr>
          <w:b/>
        </w:rPr>
        <w:t xml:space="preserve">Result files</w:t>
      </w:r>
      <w:r>
        <w:t xml:space="preserve">, click on the link tot the sequence file (fasta), to inspect the result.</w:t>
      </w:r>
    </w:p>
    <w:p>
      <w:pPr>
        <w:numPr>
          <w:numId w:val="1008"/>
          <w:ilvl w:val="0"/>
        </w:numPr>
      </w:pPr>
      <w:r>
        <w:t xml:space="preserve">Come back to the retrieve-seq result page. In the</w:t>
      </w:r>
      <w:r>
        <w:t xml:space="preserve"> </w:t>
      </w:r>
      <w:r>
        <w:rPr>
          <w:b/>
        </w:rPr>
        <w:t xml:space="preserve">Next step</w:t>
      </w:r>
      <w:r>
        <w:t xml:space="preserve"> </w:t>
      </w:r>
      <w:r>
        <w:t xml:space="preserve">table which appears at the bottom of this result page, click on the button</w:t>
      </w:r>
      <w:r>
        <w:t xml:space="preserve"> </w:t>
      </w:r>
      <w:r>
        <w:rPr>
          <w:b/>
        </w:rPr>
        <w:t xml:space="preserve">oligo-analysis</w:t>
      </w:r>
      <w:r>
        <w:t xml:space="preserve">.</w:t>
      </w:r>
    </w:p>
    <w:p>
      <w:pPr>
        <w:pStyle w:val="Heading3"/>
      </w:pPr>
      <w:bookmarkStart w:id="38" w:name="discovering-over-represented-k-mers-in-promoter-sequences"/>
      <w:bookmarkEnd w:id="38"/>
      <w:r>
        <w:t xml:space="preserve">4. Discovering over-represented k-mers in promoter sequences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oligo-analysis_form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rPr>
          <w:b/>
        </w:rPr>
        <w:t xml:space="preserve">oligo-analysis</w:t>
      </w:r>
      <w:r>
        <w:t xml:space="preserve"> </w:t>
      </w:r>
      <w:r>
        <w:t xml:space="preserve">query form.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oligo-analysis_results_1_k-mers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Primary result of</w:t>
      </w:r>
      <w:r>
        <w:t xml:space="preserve"> </w:t>
      </w:r>
      <w:r>
        <w:rPr>
          <w:b/>
        </w:rPr>
        <w:t xml:space="preserve">oligo-analysis</w:t>
      </w:r>
      <w:r>
        <w:t xml:space="preserve">: list of over-represented k-mers.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oligo-analysis_results_2_assembly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Assembly of the over-represented k-mers detedted by</w:t>
      </w:r>
      <w:r>
        <w:t xml:space="preserve"> </w:t>
      </w:r>
      <w:r>
        <w:rPr>
          <w:b/>
        </w:rPr>
        <w:t xml:space="preserve">oligo-analysis</w:t>
      </w:r>
      <w:r>
        <w:t xml:space="preserve">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oligo-analysis_results_3_matrices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Position-specific matrices and logo representations of the motifs discovered. by oligo-analysis</w:t>
      </w:r>
    </w:p>
    <w:p>
      <w:pPr>
        <w:pStyle w:val="Heading3"/>
      </w:pPr>
      <w:bookmarkStart w:id="43" w:name="predicting-binding-sites-in-promoter-sequences"/>
      <w:bookmarkEnd w:id="43"/>
      <w:r>
        <w:t xml:space="preserve">5. Predicting binding sites in promoter sequences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dna-pattern_form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Web form pf hte</w:t>
      </w:r>
      <w:r>
        <w:t xml:space="preserve"> </w:t>
      </w:r>
      <w:r>
        <w:rPr>
          <w:b/>
        </w:rPr>
        <w:t xml:space="preserve">dna-pattern</w:t>
      </w:r>
      <w:r>
        <w:t xml:space="preserve"> </w:t>
      </w:r>
      <w:r>
        <w:t xml:space="preserve">tool, which allows to scan sequences with string-based motifs (k-mers, consensuses, regular expressions, ...).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dna-pattern_result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Matching positions for the over-represented k-mers in the yeast MET genes</w:t>
      </w:r>
    </w:p>
    <w:p>
      <w:pPr>
        <w:pStyle w:val="Heading3"/>
      </w:pPr>
      <w:bookmarkStart w:id="46" w:name="displaying-the-predicted-binding-sites"/>
      <w:bookmarkEnd w:id="46"/>
      <w:r>
        <w:t xml:space="preserve">6. Displaying the predicted binding sites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feature-map_form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Web form of the</w:t>
      </w:r>
      <w:r>
        <w:t xml:space="preserve"> </w:t>
      </w:r>
      <w:r>
        <w:rPr>
          <w:b/>
        </w:rPr>
        <w:t xml:space="preserve">feature-map</w:t>
      </w:r>
      <w:r>
        <w:t xml:space="preserve"> </w:t>
      </w:r>
      <w:r>
        <w:t xml:space="preserve">tool.</w:t>
      </w:r>
    </w:p>
    <w:p>
      <w:pPr>
        <w:pStyle w:val="FigureWithCaption"/>
      </w:pPr>
      <w:r>
        <w:drawing>
          <wp:inline>
            <wp:extent cx="5334000" cy="3938582"/>
            <wp:effectExtent b="0" l="0" r="0" t="0"/>
            <wp:docPr descr="" id="1" name="Picture"/>
            <a:graphic>
              <a:graphicData uri="http://schemas.openxmlformats.org/drawingml/2006/picture">
                <pic:pic>
                  <pic:nvPicPr>
                    <pic:cNvPr descr="images/feature-map_result.pn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9385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Feature map of the over-represented k-mers discovered by oligo-analysis and matched with dna-pattern in the previous steps. The putative transcription factor bindng sites, which are revealed by clumps of mutually overlapping k-mers, corresponding to different fragments of the motifs.</w:t>
      </w:r>
    </w:p>
    <w:sectPr/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0">
    <w:nsid w:val="e17f69ba"/>
    <w:multiLevelType w:val="multilevel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</w:abstractNum>
  <w:abstractNum w:abstractNumId="990">
    <w:nsid w:val="1d4938fe"/>
    <w:multiLevelType w:val="multilevel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</w:abstractNum>
  <w:abstractNum w:abstractNumId="99411">
    <w:nsid w:val="94ccc2be"/>
    <w:multiLevelType w:val="multilevel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</w:abstractNum>
  <w:abstractNum w:abstractNumId="99412">
    <w:nsid w:val="bdc867a4"/>
    <w:multiLevelType w:val="multilevel"/>
    <w:lvl w:ilvl="0">
      <w:start w:val="2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2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2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2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2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2"/>
      <w:numFmt w:val="decimal"/>
      <w:lvlText w:val="%7."/>
      <w:lvlJc w:val="left"/>
      <w:pPr>
        <w:tabs>
          <w:tab w:val="num" w:pos="4320"/>
        </w:tabs>
        <w:ind w:left="4800" w:hanging="480"/>
      </w:pPr>
    </w:lvl>
  </w:abstractNum>
  <w:abstractNum w:abstractNumId="99413">
    <w:nsid w:val="4976766f"/>
    <w:multiLevelType w:val="multilevel"/>
    <w:lvl w:ilvl="0">
      <w:start w:val="3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3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3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3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3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3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3"/>
      <w:numFmt w:val="decimal"/>
      <w:lvlText w:val="%7."/>
      <w:lvlJc w:val="left"/>
      <w:pPr>
        <w:tabs>
          <w:tab w:val="num" w:pos="4320"/>
        </w:tabs>
        <w:ind w:left="4800" w:hanging="480"/>
      </w:pPr>
    </w:lvl>
  </w:abstractNum>
  <w:abstractNum w:abstractNumId="99414">
    <w:nsid w:val="179cba83"/>
    <w:multiLevelType w:val="multilevel"/>
    <w:lvl w:ilvl="0">
      <w:start w:val="4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4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4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4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4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4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4"/>
      <w:numFmt w:val="decimal"/>
      <w:lvlText w:val="%7."/>
      <w:lvlJc w:val="left"/>
      <w:pPr>
        <w:tabs>
          <w:tab w:val="num" w:pos="4320"/>
        </w:tabs>
        <w:ind w:left="4800" w:hanging="480"/>
      </w:pPr>
    </w:lvl>
  </w:abstractNum>
  <w:abstractNum w:abstractNumId="99415">
    <w:nsid w:val="c6acdc1c"/>
    <w:multiLevelType w:val="multilevel"/>
    <w:lvl w:ilvl="0">
      <w:start w:val="5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5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5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5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5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5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5"/>
      <w:numFmt w:val="decimal"/>
      <w:lvlText w:val="%7."/>
      <w:lvlJc w:val="left"/>
      <w:pPr>
        <w:tabs>
          <w:tab w:val="num" w:pos="4320"/>
        </w:tabs>
        <w:ind w:left="4800" w:hanging="480"/>
      </w:pPr>
    </w:lvl>
  </w:abstractNum>
  <w:abstractNum w:abstractNumId="99711">
    <w:nsid w:val="7bd9439c"/>
    <w:multiLevelType w:val="multilevel"/>
    <w:lvl w:ilvl="0">
      <w:start w:val="1"/>
      <w:numFmt w:val="lowerLetter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lowerLetter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lowerLetter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lowerLetter"/>
      <w:lvlText w:val="%7."/>
      <w:lvlJc w:val="left"/>
      <w:pPr>
        <w:tabs>
          <w:tab w:val="num" w:pos="4320"/>
        </w:tabs>
        <w:ind w:left="4800" w:hanging="480"/>
      </w:pPr>
    </w:lvl>
  </w:abstractNum>
  <w:num w:numId="1">
    <w:abstractNumId w:val="0"/>
  </w:num>
  <w:num w:numId="1000">
    <w:abstractNumId w:val="990"/>
  </w:num>
  <w:num w:numId="10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002">
    <w:abstractNumId w:val="9941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</w:num>
  <w:num w:numId="1003">
    <w:abstractNumId w:val="99413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004">
    <w:abstractNumId w:val="99414"/>
    <w:lvlOverride w:ilvl="0">
      <w:startOverride w:val="4"/>
    </w:lvlOverride>
    <w:lvlOverride w:ilvl="1">
      <w:startOverride w:val="4"/>
    </w:lvlOverride>
    <w:lvlOverride w:ilvl="2">
      <w:startOverride w:val="4"/>
    </w:lvlOverride>
    <w:lvlOverride w:ilvl="3">
      <w:startOverride w:val="4"/>
    </w:lvlOverride>
    <w:lvlOverride w:ilvl="4">
      <w:startOverride w:val="4"/>
    </w:lvlOverride>
    <w:lvlOverride w:ilvl="5">
      <w:startOverride w:val="4"/>
    </w:lvlOverride>
    <w:lvlOverride w:ilvl="6">
      <w:startOverride w:val="4"/>
    </w:lvlOverride>
  </w:num>
  <w:num w:numId="1005">
    <w:abstractNumId w:val="99415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007">
    <w:abstractNumId w:val="997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008">
    <w:abstractNumId w:val="997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0004"/>
  <w:footnotePr>
    <w:footnote w:id="-1"/>
    <w:footnote w:id="0"/>
  </w:footnotePr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rsids>
    <w:rsidRoot w:val="00590D07"/>
    <w:rsid w:val="00011C8B"/>
    <w:rsid w:val="004E29B3"/>
    <w:rsid w:val="00590D07"/>
    <w:rsid w:val="00784D58"/>
    <w:rsid w:val="008D6863"/>
    <w:rsid w:val="00B86B75"/>
    <w:rsid w:val="00BC48D5"/>
    <w:rsid w:val="00C36279"/>
    <w:rsid w:val="00E315A3"/>
  </w:rsids>
  <m:mathPr>
    <m:mathFont m:val="Lucida Grande"/>
    <m:brkBin m:val="before"/>
    <m:brkBinSub m:val="--"/>
    <m:smallFrac m:val="false"/>
    <m:dispDef m:val="false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</w:style>
  <w:style w:type="paragraph" w:styleId="BodyText">
    <w:name w:val="Body Text"/>
    <w:basedOn w:val="Normal"/>
    <w:link w:val="BodyTextChar"/>
    <w:pPr>
      <w:spacing w:before="180" w:after="180"/>
    </w:pPr>
    <w:qFormat/>
  </w:style>
  <w:style w:type="paragraph" w:customStyle="1" w:styleId="FirstParagraph">
    <w:name w:val="First Paragraph"/>
    <w:basedOn w:val="BodyText"/>
    <w:next w:val="BodyText"/>
    <w:qFormat/>
  </w:style>
  <w:style w:type="paragraph" w:customStyle="1" w:styleId="Compact">
    <w:name w:val="Compact"/>
    <w:basedOn w:val="BodyText"/>
    <w:qFormat/>
    <w:pPr>
      <w:spacing w:before="36" w:after="36"/>
    </w:pPr>
  </w:style>
  <w:style w:type="paragraph" w:styleId="Title">
    <w:name w:val="Title"/>
    <w:basedOn w:val="Normal"/>
    <w:next w:val="BodyText"/>
    <w:qFormat/>
    <w:pPr>
      <w:keepNext/>
      <w:keepLines/>
      <w:spacing w:before="480" w:after="240"/>
      <w:jc w:val="center"/>
    </w:pPr>
    <w:rPr>
      <w:rFonts w:asciiTheme="majorHAnsi" w:eastAsiaTheme="majorEastAsia" w:hAnsiTheme="majorHAnsi" w:cstheme="majorBidi"/>
      <w:b/>
      <w:bCs/>
      <w:color w:val="345A8A" w:themeColor="accent1" w:themeShade="B5"/>
      <w:sz w:val="36"/>
      <w:szCs w:val="36"/>
    </w:rPr>
  </w:style>
  <w:style w:type="paragraph" w:styleId="Subtitle">
    <w:name w:val="Subtitle"/>
    <w:basedOn w:val="Title"/>
    <w:next w:val="BodyText"/>
    <w:qFormat/>
    <w:pPr>
      <w:keepNext/>
      <w:keepLines/>
      <w:spacing w:before="240" w:after="240"/>
      <w:jc w:val="center"/>
    </w:pPr>
    <w:rPr>
      <w:sz w:val="30"/>
      <w:szCs w:val="30"/>
    </w:rPr>
  </w:style>
  <w:style w:type="paragraph" w:customStyle="1" w:styleId="Author">
    <w:name w:val="Author"/>
    <w:next w:val="BodyText"/>
    <w:qFormat/>
    <w:pPr>
      <w:keepNext/>
      <w:keepLines/>
      <w:jc w:val="center"/>
    </w:pPr>
  </w:style>
  <w:style w:type="paragraph" w:styleId="Date">
    <w:name w:val="Date"/>
    <w:next w:val="BodyText"/>
    <w:qFormat/>
    <w:pPr>
      <w:keepNext/>
      <w:keepLines/>
      <w:jc w:val="center"/>
    </w:pPr>
  </w:style>
  <w:style w:type="paragraph" w:customStyle="1" w:styleId="Abstract">
    <w:name w:val="Abstract"/>
    <w:basedOn w:val="Normal"/>
    <w:next w:val="BodyText"/>
    <w:qFormat/>
    <w:pPr>
      <w:keepNext/>
      <w:keepLines/>
      <w:spacing w:before="300" w:after="300"/>
    </w:pPr>
    <w:rPr>
      <w:sz w:val="20"/>
      <w:szCs w:val="20"/>
    </w:rPr>
  </w:style>
  <w:style w:type="paragraph" w:styleId="Bibliography">
    <w:name w:val="Bibliography"/>
    <w:basedOn w:val="Normal"/>
    <w:next w:val="Bibliography"/>
    <w:qFormat/>
    <w:pPr/>
    <w:rPr/>
  </w:style>
  <w:style w:type="paragraph" w:styleId="Heading1">
    <w:name w:val="Heading 1"/>
    <w:basedOn w:val="Normal"/>
    <w:next w:val="BodyText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BodyText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32"/>
    </w:rPr>
  </w:style>
  <w:style w:type="paragraph" w:styleId="Heading3">
    <w:name w:val="Heading 3"/>
    <w:basedOn w:val="Normal"/>
    <w:next w:val="BodyText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</w:rPr>
  </w:style>
  <w:style w:type="paragraph" w:styleId="Heading4">
    <w:name w:val="Heading 4"/>
    <w:basedOn w:val="Normal"/>
    <w:next w:val="BodyText"/>
    <w:uiPriority w:val="9"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styleId="Heading5">
    <w:name w:val="Heading 5"/>
    <w:basedOn w:val="Normal"/>
    <w:next w:val="BodyText"/>
    <w:uiPriority w:val="9"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6">
    <w:name w:val="Heading 6"/>
    <w:basedOn w:val="Normal"/>
    <w:next w:val="BodyText"/>
    <w:uiPriority w:val="9"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BlockText">
    <w:name w:val="Block Text"/>
    <w:basedOn w:val="BodyText"/>
    <w:next w:val="BodyText"/>
    <w:uiPriority w:val="9"/>
    <w:unhideWhenUsed/>
    <w:qFormat/>
    <w:pPr>
      <w:spacing w:before="100" w:after="100"/>
      <w:ind w:firstLine="0"/>
    </w:pPr>
    <w:rPr>
      <w:rFonts w:asciiTheme="majorHAnsi" w:eastAsiaTheme="majorEastAsia" w:hAnsiTheme="majorHAnsi" w:cstheme="majorBidi"/>
      <w:bCs/>
      <w:sz w:val="20"/>
      <w:szCs w:val="20"/>
    </w:rPr>
  </w:style>
  <w:style w:type="paragraph" w:styleId="FootnoteText">
    <w:name w:val="Footnote Text"/>
    <w:basedOn w:val="Normal"/>
    <w:next w:val="FootnoteText"/>
    <w:uiPriority w:val="9"/>
    <w:unhideWhenUsed/>
    <w:qFormat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Normal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"/>
  </w:style>
  <w:style w:type="paragraph" w:styleId="Caption">
    <w:name w:val="Caption"/>
    <w:basedOn w:val="Normal"/>
    <w:link w:val="BodyTextChar"/>
    <w:pPr>
      <w:spacing w:before="0" w:after="120"/>
    </w:pPr>
    <w:rPr>
      <w:i/>
    </w:rPr>
  </w:style>
  <w:style w:type="paragraph" w:customStyle="1" w:styleId="TableCaption">
    <w:name w:val="Table Caption"/>
    <w:basedOn w:val="Caption"/>
    <w:pPr>
      <w:keepNext/>
    </w:pPr>
  </w:style>
  <w:style w:type="paragraph" w:customStyle="1" w:styleId="ImageCaption">
    <w:name w:val="Image Caption"/>
    <w:basedOn w:val="Caption"/>
  </w:style>
  <w:style w:type="paragraph" w:customStyle="1" w:styleId="Figure">
    <w:name w:val="Figure"/>
    <w:basedOn w:val="Normal"/>
  </w:style>
  <w:style w:type="paragraph" w:customStyle="1" w:styleId="FigureWithCaption">
    <w:name w:val="Figure with Caption"/>
    <w:basedOn w:val="Figure"/>
    <w:pPr>
      <w:keepNext/>
    </w:pPr>
  </w:style>
  <w:style w:type="character" w:customStyle="1" w:styleId="BodyTextChar">
    <w:name w:val="Body Text Char"/>
    <w:basedOn w:val="DefaultParagraphFont"/>
    <w:link w:val="BodyText"/>
  </w:style>
  <w:style w:type="character" w:customStyle="1" w:styleId="VerbatimChar">
    <w:name w:val="Verbatim Char"/>
    <w:basedOn w:val="BodyTextChar"/>
    <w:rPr>
      <w:rFonts w:ascii="Consolas" w:hAnsi="Consolas"/>
      <w:sz w:val="22"/>
    </w:rPr>
  </w:style>
  <w:style w:type="character" w:styleId="FootnoteReference">
    <w:name w:val="Footnote Reference"/>
    <w:basedOn w:val="BodyTextChar"/>
    <w:rPr>
      <w:vertAlign w:val="superscript"/>
    </w:rPr>
  </w:style>
  <w:style w:type="character" w:styleId="Hyperlink">
    <w:name w:val="Hyperlink"/>
    <w:basedOn w:val="BodyTextChar"/>
    <w:rPr>
      <w:color w:val="4F81BD" w:themeColor="accent1"/>
    </w:rPr>
  </w:style>
  <w:style w:type="paragraph" w:styleId="TOCHeading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</w:rPr>
  </w:style>
  <w:style w:type="paragraph" w:customStyle="1" w:styleId="SourceCode">
    <w:name w:val="Source Code"/>
    <w:basedOn w:val="Normal"/>
    <w:link w:val="VerbatimChar"/>
    <w:pPr>
      <w:wordWrap w:val="off"/>
      <w:noProof/>
      <w:shd w:val="clear" w:fill="f8f8f8"/>
    </w:pPr>
  </w:style>
  <w:style w:type="character" w:customStyle="1" w:styleId="KeywordTok">
    <w:name w:val="KeywordTok"/>
    <w:basedOn w:val="VerbatimChar"/>
    <w:rPr>
      <w:color w:val="204a87"/>
      <w:shd w:val="clear" w:fill="f8f8f8"/>
      <w:b/>
    </w:rPr>
  </w:style>
  <w:style w:type="character" w:customStyle="1" w:styleId="DataTypeTok">
    <w:name w:val="DataTypeTok"/>
    <w:basedOn w:val="VerbatimChar"/>
    <w:rPr>
      <w:color w:val="204a87"/>
      <w:shd w:val="clear" w:fill="f8f8f8"/>
    </w:rPr>
  </w:style>
  <w:style w:type="character" w:customStyle="1" w:styleId="DecValTok">
    <w:name w:val="DecValTok"/>
    <w:basedOn w:val="VerbatimChar"/>
    <w:rPr>
      <w:color w:val="0000cf"/>
      <w:shd w:val="clear" w:fill="f8f8f8"/>
    </w:rPr>
  </w:style>
  <w:style w:type="character" w:customStyle="1" w:styleId="BaseNTok">
    <w:name w:val="BaseNTok"/>
    <w:basedOn w:val="VerbatimChar"/>
    <w:rPr>
      <w:color w:val="0000cf"/>
      <w:shd w:val="clear" w:fill="f8f8f8"/>
    </w:rPr>
  </w:style>
  <w:style w:type="character" w:customStyle="1" w:styleId="FloatTok">
    <w:name w:val="FloatTok"/>
    <w:basedOn w:val="VerbatimChar"/>
    <w:rPr>
      <w:color w:val="0000cf"/>
      <w:shd w:val="clear" w:fill="f8f8f8"/>
    </w:rPr>
  </w:style>
  <w:style w:type="character" w:customStyle="1" w:styleId="ConstantTok">
    <w:name w:val="ConstantTok"/>
    <w:basedOn w:val="VerbatimChar"/>
    <w:rPr>
      <w:color w:val="000000"/>
      <w:shd w:val="clear" w:fill="f8f8f8"/>
    </w:rPr>
  </w:style>
  <w:style w:type="character" w:customStyle="1" w:styleId="CharTok">
    <w:name w:val="CharTok"/>
    <w:basedOn w:val="VerbatimChar"/>
    <w:rPr>
      <w:color w:val="4e9a06"/>
      <w:shd w:val="clear" w:fill="f8f8f8"/>
    </w:rPr>
  </w:style>
  <w:style w:type="character" w:customStyle="1" w:styleId="SpecialCharTok">
    <w:name w:val="SpecialCharTok"/>
    <w:basedOn w:val="VerbatimChar"/>
    <w:rPr>
      <w:color w:val="000000"/>
      <w:shd w:val="clear" w:fill="f8f8f8"/>
    </w:rPr>
  </w:style>
  <w:style w:type="character" w:customStyle="1" w:styleId="StringTok">
    <w:name w:val="StringTok"/>
    <w:basedOn w:val="VerbatimChar"/>
    <w:rPr>
      <w:color w:val="4e9a06"/>
      <w:shd w:val="clear" w:fill="f8f8f8"/>
    </w:rPr>
  </w:style>
  <w:style w:type="character" w:customStyle="1" w:styleId="VerbatimStringTok">
    <w:name w:val="VerbatimStringTok"/>
    <w:basedOn w:val="VerbatimChar"/>
    <w:rPr>
      <w:color w:val="4e9a06"/>
      <w:shd w:val="clear" w:fill="f8f8f8"/>
    </w:rPr>
  </w:style>
  <w:style w:type="character" w:customStyle="1" w:styleId="SpecialStringTok">
    <w:name w:val="SpecialStringTok"/>
    <w:basedOn w:val="VerbatimChar"/>
    <w:rPr>
      <w:color w:val="4e9a06"/>
      <w:shd w:val="clear" w:fill="f8f8f8"/>
    </w:rPr>
  </w:style>
  <w:style w:type="character" w:customStyle="1" w:styleId="ImportTok">
    <w:name w:val="ImportTok"/>
    <w:basedOn w:val="VerbatimChar"/>
    <w:rPr>
      <w:shd w:val="clear" w:fill="f8f8f8"/>
    </w:rPr>
  </w:style>
  <w:style w:type="character" w:customStyle="1" w:styleId="CommentTok">
    <w:name w:val="CommentTok"/>
    <w:basedOn w:val="VerbatimChar"/>
    <w:rPr>
      <w:color w:val="8f5902"/>
      <w:shd w:val="clear" w:fill="f8f8f8"/>
      <w:i/>
    </w:rPr>
  </w:style>
  <w:style w:type="character" w:customStyle="1" w:styleId="DocumentationTok">
    <w:name w:val="DocumentationTok"/>
    <w:basedOn w:val="VerbatimChar"/>
    <w:rPr>
      <w:color w:val="8f5902"/>
      <w:shd w:val="clear" w:fill="f8f8f8"/>
      <w:b/>
      <w:i/>
    </w:rPr>
  </w:style>
  <w:style w:type="character" w:customStyle="1" w:styleId="AnnotationTok">
    <w:name w:val="AnnotationTok"/>
    <w:basedOn w:val="VerbatimChar"/>
    <w:rPr>
      <w:color w:val="8f5902"/>
      <w:shd w:val="clear" w:fill="f8f8f8"/>
      <w:b/>
      <w:i/>
    </w:rPr>
  </w:style>
  <w:style w:type="character" w:customStyle="1" w:styleId="CommentVarTok">
    <w:name w:val="CommentVarTok"/>
    <w:basedOn w:val="VerbatimChar"/>
    <w:rPr>
      <w:color w:val="8f5902"/>
      <w:shd w:val="clear" w:fill="f8f8f8"/>
      <w:b/>
      <w:i/>
    </w:rPr>
  </w:style>
  <w:style w:type="character" w:customStyle="1" w:styleId="OtherTok">
    <w:name w:val="OtherTok"/>
    <w:basedOn w:val="VerbatimChar"/>
    <w:rPr>
      <w:color w:val="8f5902"/>
      <w:shd w:val="clear" w:fill="f8f8f8"/>
    </w:rPr>
  </w:style>
  <w:style w:type="character" w:customStyle="1" w:styleId="FunctionTok">
    <w:name w:val="FunctionTok"/>
    <w:basedOn w:val="VerbatimChar"/>
    <w:rPr>
      <w:color w:val="000000"/>
      <w:shd w:val="clear" w:fill="f8f8f8"/>
    </w:rPr>
  </w:style>
  <w:style w:type="character" w:customStyle="1" w:styleId="VariableTok">
    <w:name w:val="VariableTok"/>
    <w:basedOn w:val="VerbatimChar"/>
    <w:rPr>
      <w:color w:val="000000"/>
      <w:shd w:val="clear" w:fill="f8f8f8"/>
    </w:rPr>
  </w:style>
  <w:style w:type="character" w:customStyle="1" w:styleId="ControlFlowTok">
    <w:name w:val="ControlFlowTok"/>
    <w:basedOn w:val="VerbatimChar"/>
    <w:rPr>
      <w:color w:val="204a87"/>
      <w:shd w:val="clear" w:fill="f8f8f8"/>
      <w:b/>
    </w:rPr>
  </w:style>
  <w:style w:type="character" w:customStyle="1" w:styleId="OperatorTok">
    <w:name w:val="OperatorTok"/>
    <w:basedOn w:val="VerbatimChar"/>
    <w:rPr>
      <w:color w:val="ce5c00"/>
      <w:shd w:val="clear" w:fill="f8f8f8"/>
      <w:b/>
    </w:rPr>
  </w:style>
  <w:style w:type="character" w:customStyle="1" w:styleId="BuiltInTok">
    <w:name w:val="BuiltInTok"/>
    <w:basedOn w:val="VerbatimChar"/>
    <w:rPr>
      <w:shd w:val="clear" w:fill="f8f8f8"/>
    </w:rPr>
  </w:style>
  <w:style w:type="character" w:customStyle="1" w:styleId="ExtensionTok">
    <w:name w:val="ExtensionTok"/>
    <w:basedOn w:val="VerbatimChar"/>
    <w:rPr>
      <w:shd w:val="clear" w:fill="f8f8f8"/>
    </w:rPr>
  </w:style>
  <w:style w:type="character" w:customStyle="1" w:styleId="PreprocessorTok">
    <w:name w:val="PreprocessorTok"/>
    <w:basedOn w:val="VerbatimChar"/>
    <w:rPr>
      <w:color w:val="8f5902"/>
      <w:shd w:val="clear" w:fill="f8f8f8"/>
      <w:i/>
    </w:rPr>
  </w:style>
  <w:style w:type="character" w:customStyle="1" w:styleId="AttributeTok">
    <w:name w:val="AttributeTok"/>
    <w:basedOn w:val="VerbatimChar"/>
    <w:rPr>
      <w:color w:val="c4a000"/>
      <w:shd w:val="clear" w:fill="f8f8f8"/>
    </w:rPr>
  </w:style>
  <w:style w:type="character" w:customStyle="1" w:styleId="RegionMarkerTok">
    <w:name w:val="RegionMarkerTok"/>
    <w:basedOn w:val="VerbatimChar"/>
    <w:rPr>
      <w:shd w:val="clear" w:fill="f8f8f8"/>
    </w:rPr>
  </w:style>
  <w:style w:type="character" w:customStyle="1" w:styleId="InformationTok">
    <w:name w:val="InformationTok"/>
    <w:basedOn w:val="VerbatimChar"/>
    <w:rPr>
      <w:color w:val="8f5902"/>
      <w:shd w:val="clear" w:fill="f8f8f8"/>
      <w:b/>
      <w:i/>
    </w:rPr>
  </w:style>
  <w:style w:type="character" w:customStyle="1" w:styleId="WarningTok">
    <w:name w:val="WarningTok"/>
    <w:basedOn w:val="VerbatimChar"/>
    <w:rPr>
      <w:color w:val="8f5902"/>
      <w:shd w:val="clear" w:fill="f8f8f8"/>
      <w:b/>
      <w:i/>
    </w:rPr>
  </w:style>
  <w:style w:type="character" w:customStyle="1" w:styleId="AlertTok">
    <w:name w:val="AlertTok"/>
    <w:basedOn w:val="VerbatimChar"/>
    <w:rPr>
      <w:color w:val="ef2929"/>
      <w:shd w:val="clear" w:fill="f8f8f8"/>
    </w:rPr>
  </w:style>
  <w:style w:type="character" w:customStyle="1" w:styleId="ErrorTok">
    <w:name w:val="ErrorTok"/>
    <w:basedOn w:val="VerbatimChar"/>
    <w:rPr>
      <w:color w:val="a40000"/>
      <w:shd w:val="clear" w:fill="f8f8f8"/>
      <w:b/>
    </w:rPr>
  </w:style>
  <w:style w:type="character" w:customStyle="1" w:styleId="NormalTok">
    <w:name w:val="NormalTok"/>
    <w:basedOn w:val="VerbatimChar"/>
    <w:rPr>
      <w:shd w:val="clear" w:fill="f8f8f8"/>
    </w:rPr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
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image" Id="rId26" Target="media/rId26.png" /><Relationship Type="http://schemas.openxmlformats.org/officeDocument/2006/relationships/image" Id="rId25" Target="media/rId25.png" /><Relationship Type="http://schemas.openxmlformats.org/officeDocument/2006/relationships/image" Id="rId27" Target="media/rId27.png" /><Relationship Type="http://schemas.openxmlformats.org/officeDocument/2006/relationships/image" Id="rId29" Target="media/rId29.png" /><Relationship Type="http://schemas.openxmlformats.org/officeDocument/2006/relationships/image" Id="rId28" Target="media/rId28.png" /><Relationship Type="http://schemas.openxmlformats.org/officeDocument/2006/relationships/image" Id="rId44" Target="media/rId44.png" /><Relationship Type="http://schemas.openxmlformats.org/officeDocument/2006/relationships/image" Id="rId45" Target="media/rId45.png" /><Relationship Type="http://schemas.openxmlformats.org/officeDocument/2006/relationships/image" Id="rId47" Target="media/rId47.png" /><Relationship Type="http://schemas.openxmlformats.org/officeDocument/2006/relationships/image" Id="rId48" Target="media/rId48.png" /><Relationship Type="http://schemas.openxmlformats.org/officeDocument/2006/relationships/image" Id="rId35" Target="media/rId35.png" /><Relationship Type="http://schemas.openxmlformats.org/officeDocument/2006/relationships/image" Id="rId36" Target="media/rId36.png" /><Relationship Type="http://schemas.openxmlformats.org/officeDocument/2006/relationships/image" Id="rId39" Target="media/rId39.png" /><Relationship Type="http://schemas.openxmlformats.org/officeDocument/2006/relationships/image" Id="rId40" Target="media/rId40.png" /><Relationship Type="http://schemas.openxmlformats.org/officeDocument/2006/relationships/image" Id="rId41" Target="media/rId41.png" /><Relationship Type="http://schemas.openxmlformats.org/officeDocument/2006/relationships/image" Id="rId42" Target="media/rId42.png" /><Relationship Type="http://schemas.openxmlformats.org/officeDocument/2006/relationships/image" Id="rId33" Target="media/rId33.png" /><Relationship Type="http://schemas.openxmlformats.org/officeDocument/2006/relationships/hyperlink" Id="rId22" Target="http://www.france-bioinformatique.fr/fr/cloud" TargetMode="External" /><Relationship Type="http://schemas.openxmlformats.org/officeDocument/2006/relationships/hyperlink" Id="rId24" Target="https://cloud.france-bioinformatique.fr/accounts/login/?next=/cloud/" TargetMode="External" /></Relationships>
</file>

<file path=word/_rels/footnotes.xml.rels><?xml version="1.0" encoding="UTF-8"?>
<Relationships xmlns="http://schemas.openxmlformats.org/package/2006/relationships"><Relationship Type="http://schemas.openxmlformats.org/officeDocument/2006/relationships/hyperlink" Id="rId22" Target="http://www.france-bioinformatique.fr/fr/cloud" TargetMode="External" /><Relationship Type="http://schemas.openxmlformats.org/officeDocument/2006/relationships/hyperlink" Id="rId24" Target="https://cloud.france-bioinformatique.fr/accounts/login/?next=/cloud/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RSAT Virtual machine (VM) User Guide</dc:title>
  <dc:creator>Jacques van Helden</dc:creator>
</cp:coreProperties>
</file>